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0E6945" w:rsidTr="0098444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E6945" w:rsidRPr="00E12336" w:rsidRDefault="000E6945" w:rsidP="0098444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0E6945" w:rsidRDefault="000E6945" w:rsidP="0098444D">
            <w:r>
              <w:t>Nº ECTS</w:t>
            </w:r>
          </w:p>
        </w:tc>
      </w:tr>
      <w:tr w:rsidR="000E6945" w:rsidTr="0098444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0E6945" w:rsidRPr="007579F8" w:rsidRDefault="000E6945" w:rsidP="0098444D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bookmarkStart w:id="0" w:name="_GoBack"/>
            <w:r>
              <w:t>DERECHO PROCESAL. PROCESO CIVIL Y PROCESO PENAL</w:t>
            </w:r>
            <w:bookmarkEnd w:id="0"/>
          </w:p>
          <w:p w:rsidR="000E6945" w:rsidRPr="003A369F" w:rsidRDefault="000E6945" w:rsidP="0098444D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0E6945" w:rsidRDefault="000E6945" w:rsidP="0098444D"/>
        </w:tc>
      </w:tr>
      <w:tr w:rsidR="000E6945" w:rsidTr="0098444D">
        <w:trPr>
          <w:trHeight w:val="469"/>
        </w:trPr>
        <w:tc>
          <w:tcPr>
            <w:tcW w:w="1560" w:type="dxa"/>
          </w:tcPr>
          <w:p w:rsidR="000E6945" w:rsidRDefault="000E6945" w:rsidP="0098444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Pr="003A369F" w:rsidRDefault="000E6945" w:rsidP="0098444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E6945" w:rsidRDefault="000E6945" w:rsidP="0098444D">
            <w:r>
              <w:t>Experto en …</w:t>
            </w:r>
          </w:p>
          <w:p w:rsidR="000E6945" w:rsidRDefault="000E6945" w:rsidP="0098444D">
            <w:r>
              <w:t>Experiencia investigadora …</w:t>
            </w:r>
          </w:p>
          <w:p w:rsidR="000E6945" w:rsidRDefault="000E6945" w:rsidP="0098444D">
            <w:r>
              <w:t>Experiencia docente …</w:t>
            </w:r>
          </w:p>
          <w:p w:rsidR="000E6945" w:rsidRDefault="000E6945" w:rsidP="0098444D">
            <w:r>
              <w:t>. Profesor Titular de Derecho Procesal</w:t>
            </w:r>
          </w:p>
          <w:p w:rsidR="000E6945" w:rsidRDefault="000E6945" w:rsidP="0098444D">
            <w:r>
              <w:t xml:space="preserve">. </w:t>
            </w:r>
            <w:r w:rsidR="00FB529E">
              <w:t>Un sexenio</w:t>
            </w:r>
            <w:r>
              <w:t xml:space="preserve"> de investigación y el</w:t>
            </w:r>
            <w:r w:rsidR="00FB529E">
              <w:t xml:space="preserve"> segundo a la espera de resolución</w:t>
            </w:r>
          </w:p>
          <w:p w:rsidR="000E6945" w:rsidRDefault="000E6945" w:rsidP="0098444D">
            <w:r>
              <w:t>. Cuatro quinquenios de docencia</w:t>
            </w:r>
          </w:p>
          <w:p w:rsidR="000E6945" w:rsidRDefault="000E6945" w:rsidP="0098444D"/>
          <w:p w:rsidR="000E6945" w:rsidRDefault="000E6945" w:rsidP="0098444D"/>
          <w:p w:rsidR="000E6945" w:rsidRDefault="00482D2B" w:rsidP="0098444D">
            <w:r>
              <w:t>Se estima una necesidad de 34</w:t>
            </w:r>
            <w:r w:rsidR="000E6945">
              <w:t xml:space="preserve"> profesores</w:t>
            </w:r>
          </w:p>
        </w:tc>
      </w:tr>
      <w:tr w:rsidR="000E6945" w:rsidTr="0098444D">
        <w:trPr>
          <w:trHeight w:val="871"/>
        </w:trPr>
        <w:tc>
          <w:tcPr>
            <w:tcW w:w="1560" w:type="dxa"/>
          </w:tcPr>
          <w:p w:rsidR="000E6945" w:rsidRDefault="000E6945" w:rsidP="0098444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Pr="003A369F" w:rsidRDefault="000E6945" w:rsidP="0098444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E6945" w:rsidRDefault="000E6945" w:rsidP="0098444D">
            <w:r>
              <w:t>1.</w:t>
            </w:r>
            <w:r w:rsidR="00FB529E">
              <w:t xml:space="preserve"> Derecho procesal civil europeo</w:t>
            </w:r>
          </w:p>
          <w:p w:rsidR="000E6945" w:rsidRDefault="000E6945" w:rsidP="0098444D">
            <w:r>
              <w:t>3. Tutela del crédito</w:t>
            </w:r>
          </w:p>
          <w:p w:rsidR="000E6945" w:rsidRDefault="000E6945" w:rsidP="0098444D">
            <w:r>
              <w:t>4.</w:t>
            </w:r>
            <w:r w:rsidR="00FB529E">
              <w:t xml:space="preserve"> Arbitraje</w:t>
            </w:r>
          </w:p>
          <w:p w:rsidR="000E6945" w:rsidRDefault="000E6945" w:rsidP="0098444D">
            <w:r>
              <w:t xml:space="preserve">5. </w:t>
            </w:r>
            <w:r w:rsidR="00FB529E">
              <w:t>Protección de personas vulnerables</w:t>
            </w:r>
          </w:p>
        </w:tc>
      </w:tr>
      <w:tr w:rsidR="000E6945" w:rsidTr="0098444D">
        <w:trPr>
          <w:trHeight w:val="2266"/>
        </w:trPr>
        <w:tc>
          <w:tcPr>
            <w:tcW w:w="1560" w:type="dxa"/>
          </w:tcPr>
          <w:p w:rsidR="000E6945" w:rsidRDefault="000E6945" w:rsidP="0098444D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Pr="003A369F" w:rsidRDefault="000E6945" w:rsidP="0098444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B529E" w:rsidRDefault="000E6945" w:rsidP="00FB529E">
            <w:r>
              <w:lastRenderedPageBreak/>
              <w:t>En los últimos diez años</w:t>
            </w:r>
            <w:r w:rsidR="00FB529E">
              <w:t>:</w:t>
            </w:r>
          </w:p>
          <w:p w:rsidR="00FB529E" w:rsidRDefault="00FB529E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— </w:t>
            </w:r>
            <w:r w:rsidRPr="00FB529E">
              <w:rPr>
                <w:rFonts w:cs="Times New Roman"/>
                <w:szCs w:val="26"/>
              </w:rPr>
              <w:t xml:space="preserve">Proyecto de Investigación «Diez años de aplicación de la Ley de Enjuiciamiento Civil: balance y propuestas de mejora de los procesos declarativos ordinarios» (DER2008-04777), financiado por el Ministerio de Ciencia e Innovación, desde el 01/01/2009 hasta el 31/12/2011. Investigador Principal: Prof. Dr. Julio </w:t>
            </w:r>
            <w:proofErr w:type="spellStart"/>
            <w:r w:rsidRPr="00FB529E">
              <w:rPr>
                <w:rFonts w:cs="Times New Roman"/>
                <w:szCs w:val="26"/>
              </w:rPr>
              <w:t>Banacloche</w:t>
            </w:r>
            <w:proofErr w:type="spellEnd"/>
            <w:r w:rsidRPr="00FB529E">
              <w:rPr>
                <w:rFonts w:cs="Times New Roman"/>
                <w:szCs w:val="26"/>
              </w:rPr>
              <w:t xml:space="preserve"> Palao</w:t>
            </w:r>
            <w:r>
              <w:rPr>
                <w:rFonts w:cs="Times New Roman"/>
                <w:szCs w:val="26"/>
              </w:rPr>
              <w:t>.</w:t>
            </w:r>
          </w:p>
          <w:p w:rsidR="00FB529E" w:rsidRDefault="00FB529E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— </w:t>
            </w:r>
            <w:r w:rsidRPr="00FB529E">
              <w:rPr>
                <w:rFonts w:cs="Times New Roman"/>
                <w:szCs w:val="26"/>
              </w:rPr>
              <w:t>Proyecto de Investigación «</w:t>
            </w:r>
            <w:r w:rsidRPr="00FB529E">
              <w:rPr>
                <w:szCs w:val="26"/>
              </w:rPr>
              <w:t xml:space="preserve">El Derecho Procesal Civil Europeo y la implantación de la e-Justicia en la Unión Europea (Plan de estudio y difusión entre operadores jurídicos/ </w:t>
            </w:r>
            <w:proofErr w:type="spellStart"/>
            <w:r w:rsidRPr="00FB529E">
              <w:rPr>
                <w:i/>
                <w:szCs w:val="26"/>
              </w:rPr>
              <w:t>European</w:t>
            </w:r>
            <w:proofErr w:type="spellEnd"/>
            <w:r w:rsidRPr="00FB529E">
              <w:rPr>
                <w:i/>
                <w:szCs w:val="26"/>
              </w:rPr>
              <w:t xml:space="preserve"> Civil </w:t>
            </w:r>
            <w:proofErr w:type="spellStart"/>
            <w:r w:rsidRPr="00FB529E">
              <w:rPr>
                <w:i/>
                <w:szCs w:val="26"/>
              </w:rPr>
              <w:t>Procedure</w:t>
            </w:r>
            <w:proofErr w:type="spellEnd"/>
            <w:r w:rsidRPr="00FB529E">
              <w:rPr>
                <w:i/>
                <w:szCs w:val="26"/>
              </w:rPr>
              <w:t xml:space="preserve"> and e-</w:t>
            </w:r>
            <w:proofErr w:type="spellStart"/>
            <w:r w:rsidRPr="00FB529E">
              <w:rPr>
                <w:i/>
                <w:szCs w:val="26"/>
              </w:rPr>
              <w:t>Justice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implementation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within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the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European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Union</w:t>
            </w:r>
            <w:proofErr w:type="spellEnd"/>
            <w:r w:rsidRPr="00FB529E">
              <w:rPr>
                <w:i/>
                <w:szCs w:val="26"/>
              </w:rPr>
              <w:t xml:space="preserve"> (A </w:t>
            </w:r>
            <w:proofErr w:type="spellStart"/>
            <w:r w:rsidRPr="00FB529E">
              <w:rPr>
                <w:i/>
                <w:szCs w:val="26"/>
              </w:rPr>
              <w:t>Planning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for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its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Study</w:t>
            </w:r>
            <w:proofErr w:type="spellEnd"/>
            <w:r w:rsidRPr="00FB529E">
              <w:rPr>
                <w:i/>
                <w:szCs w:val="26"/>
              </w:rPr>
              <w:t xml:space="preserve"> and </w:t>
            </w:r>
            <w:proofErr w:type="spellStart"/>
            <w:r w:rsidRPr="00FB529E">
              <w:rPr>
                <w:i/>
                <w:szCs w:val="26"/>
              </w:rPr>
              <w:t>Diffusion</w:t>
            </w:r>
            <w:proofErr w:type="spellEnd"/>
            <w:r w:rsidRPr="00FB529E">
              <w:rPr>
                <w:i/>
                <w:szCs w:val="26"/>
              </w:rPr>
              <w:t xml:space="preserve"> </w:t>
            </w:r>
            <w:proofErr w:type="spellStart"/>
            <w:r w:rsidRPr="00FB529E">
              <w:rPr>
                <w:i/>
                <w:szCs w:val="26"/>
              </w:rPr>
              <w:t>among</w:t>
            </w:r>
            <w:proofErr w:type="spellEnd"/>
            <w:r w:rsidRPr="00FB529E">
              <w:rPr>
                <w:i/>
                <w:szCs w:val="26"/>
              </w:rPr>
              <w:t xml:space="preserve"> Legal </w:t>
            </w:r>
            <w:proofErr w:type="spellStart"/>
            <w:r w:rsidRPr="00FB529E">
              <w:rPr>
                <w:i/>
                <w:szCs w:val="26"/>
              </w:rPr>
              <w:t>Practitioners</w:t>
            </w:r>
            <w:proofErr w:type="spellEnd"/>
            <w:r w:rsidRPr="00FB529E">
              <w:rPr>
                <w:i/>
                <w:szCs w:val="26"/>
              </w:rPr>
              <w:t>)</w:t>
            </w:r>
            <w:r w:rsidRPr="00FB529E">
              <w:rPr>
                <w:rFonts w:cs="Times New Roman"/>
                <w:szCs w:val="26"/>
              </w:rPr>
              <w:t>»</w:t>
            </w:r>
            <w:r w:rsidRPr="00FB529E">
              <w:rPr>
                <w:i/>
                <w:szCs w:val="26"/>
              </w:rPr>
              <w:t xml:space="preserve"> </w:t>
            </w:r>
            <w:r w:rsidRPr="00FB529E">
              <w:rPr>
                <w:szCs w:val="26"/>
              </w:rPr>
              <w:t>(JLS/2008/JCIV/AG/1008)</w:t>
            </w:r>
            <w:r w:rsidRPr="00FB529E">
              <w:rPr>
                <w:rFonts w:cs="Times New Roman"/>
                <w:szCs w:val="26"/>
              </w:rPr>
              <w:t xml:space="preserve">, financiado por la Dirección General de Justicia, Libertad y Seguridad de la Comisión </w:t>
            </w:r>
            <w:r w:rsidRPr="00FB529E">
              <w:rPr>
                <w:rFonts w:cs="Times New Roman"/>
                <w:szCs w:val="26"/>
              </w:rPr>
              <w:lastRenderedPageBreak/>
              <w:t xml:space="preserve">Europea en el marco de la </w:t>
            </w:r>
            <w:proofErr w:type="spellStart"/>
            <w:r w:rsidRPr="00FB529E">
              <w:rPr>
                <w:rFonts w:cs="Times New Roman"/>
                <w:i/>
                <w:szCs w:val="26"/>
              </w:rPr>
              <w:t>Action</w:t>
            </w:r>
            <w:proofErr w:type="spellEnd"/>
            <w:r w:rsidRPr="00FB529E">
              <w:rPr>
                <w:rFonts w:cs="Times New Roman"/>
                <w:i/>
                <w:szCs w:val="26"/>
              </w:rPr>
              <w:t xml:space="preserve"> </w:t>
            </w:r>
            <w:proofErr w:type="spellStart"/>
            <w:r w:rsidRPr="00FB529E">
              <w:rPr>
                <w:rFonts w:cs="Times New Roman"/>
                <w:i/>
                <w:szCs w:val="26"/>
              </w:rPr>
              <w:t>Grant</w:t>
            </w:r>
            <w:proofErr w:type="spellEnd"/>
            <w:r w:rsidRPr="00FB529E">
              <w:rPr>
                <w:rFonts w:cs="Times New Roman"/>
                <w:szCs w:val="26"/>
              </w:rPr>
              <w:t xml:space="preserve"> JLS/2008/JCIV/AG/1008, desde el 01/01/2010 hasta el 31/12/2011. Investigador responsable: Prof. Dr. Andrés de la Oliva Santos</w:t>
            </w:r>
          </w:p>
          <w:p w:rsidR="00FB529E" w:rsidRDefault="00FB529E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—</w:t>
            </w:r>
            <w:r>
              <w:t xml:space="preserve"> </w:t>
            </w:r>
            <w:r w:rsidRPr="00F85BE6">
              <w:rPr>
                <w:rFonts w:cs="Times New Roman"/>
                <w:szCs w:val="26"/>
              </w:rPr>
              <w:t xml:space="preserve">Proyecto de Investigación «Lucha contra el terrorismo en Europa y restricción de derechos fundamentales en el proceso penal» (DER2009-11243), financiado por el Ministerio de Ciencia e Innovación, desde el 01/01/2010 hasta el 31/12/2012. Investigadora Principal: Profª. Dra. Lorena </w:t>
            </w:r>
            <w:proofErr w:type="spellStart"/>
            <w:r w:rsidRPr="00F85BE6">
              <w:rPr>
                <w:rFonts w:cs="Times New Roman"/>
                <w:szCs w:val="26"/>
              </w:rPr>
              <w:t>Bachmaier</w:t>
            </w:r>
            <w:proofErr w:type="spellEnd"/>
            <w:r w:rsidRPr="00F85BE6">
              <w:rPr>
                <w:rFonts w:cs="Times New Roman"/>
                <w:szCs w:val="26"/>
              </w:rPr>
              <w:t xml:space="preserve"> Winter</w:t>
            </w:r>
            <w:r>
              <w:rPr>
                <w:rFonts w:cs="Times New Roman"/>
                <w:szCs w:val="26"/>
              </w:rPr>
              <w:t>.</w:t>
            </w:r>
          </w:p>
          <w:p w:rsidR="00FB529E" w:rsidRPr="00A04459" w:rsidRDefault="00FB529E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 w:rsidRPr="00A04459">
              <w:rPr>
                <w:rFonts w:cs="Times New Roman"/>
                <w:szCs w:val="26"/>
              </w:rPr>
              <w:t xml:space="preserve">—Proyecto de Investigación «Diez años de aplicación de la Ley de Enjuiciamiento Civil (II): balance y propuestas de mejora de los procesos de ejecución y especiales» (DER2011-28188), financiado por el Ministerio de Economía y Competitividad, desde el 01/01/2012 hasta el 31/12/2014. Investigador Principal: Prof. Dr. Julio </w:t>
            </w:r>
            <w:proofErr w:type="spellStart"/>
            <w:r w:rsidRPr="00A04459">
              <w:rPr>
                <w:rFonts w:cs="Times New Roman"/>
                <w:szCs w:val="26"/>
              </w:rPr>
              <w:t>Banacloche</w:t>
            </w:r>
            <w:proofErr w:type="spellEnd"/>
            <w:r w:rsidRPr="00A04459">
              <w:rPr>
                <w:rFonts w:cs="Times New Roman"/>
                <w:szCs w:val="26"/>
              </w:rPr>
              <w:t xml:space="preserve"> Palao</w:t>
            </w:r>
            <w:r>
              <w:rPr>
                <w:rFonts w:cs="Times New Roman"/>
                <w:szCs w:val="26"/>
              </w:rPr>
              <w:t>.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— </w:t>
            </w:r>
            <w:r w:rsidRPr="00FB529E">
              <w:rPr>
                <w:rFonts w:cs="Times New Roman"/>
                <w:szCs w:val="26"/>
              </w:rPr>
              <w:t xml:space="preserve">Proyecto de Investigación «Investigación y prueba en los procesos penales en Europa. La creación de una Fiscalía Europea» (DER2013-44888-P), financiado por el Ministerio de Economía y Competitividad, 2014-2017. Investigadora Principal: Profª. Dra. Lorena </w:t>
            </w:r>
            <w:proofErr w:type="spellStart"/>
            <w:r w:rsidRPr="00FB529E">
              <w:rPr>
                <w:rFonts w:cs="Times New Roman"/>
                <w:szCs w:val="26"/>
              </w:rPr>
              <w:t>Bachmaier</w:t>
            </w:r>
            <w:proofErr w:type="spellEnd"/>
            <w:r w:rsidRPr="00FB529E">
              <w:rPr>
                <w:rFonts w:cs="Times New Roman"/>
                <w:szCs w:val="26"/>
              </w:rPr>
              <w:t xml:space="preserve"> Winter.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— </w:t>
            </w:r>
            <w:r w:rsidRPr="00FB529E">
              <w:rPr>
                <w:rFonts w:cs="Times New Roman"/>
                <w:szCs w:val="26"/>
              </w:rPr>
              <w:t xml:space="preserve">Proyecto de Investigación «La armonización del proceso civil en la Unión Europea» (DER2015-64756-P), financiado por el Ministerio de Economía y Competitividad, desde 2016 hasta 2018. Investigador Principal: Prof. Dr. Fernando Gascón </w:t>
            </w:r>
            <w:proofErr w:type="spellStart"/>
            <w:r w:rsidRPr="00FB529E">
              <w:rPr>
                <w:rFonts w:cs="Times New Roman"/>
                <w:szCs w:val="26"/>
              </w:rPr>
              <w:t>Inchausti</w:t>
            </w:r>
            <w:proofErr w:type="spellEnd"/>
            <w:r w:rsidRPr="00FB529E">
              <w:rPr>
                <w:rFonts w:cs="Times New Roman"/>
                <w:szCs w:val="26"/>
              </w:rPr>
              <w:t xml:space="preserve"> (documento 128). </w:t>
            </w:r>
          </w:p>
          <w:p w:rsidR="000E6945" w:rsidRDefault="000E6945" w:rsidP="00FB529E">
            <w:pPr>
              <w:spacing w:after="0" w:line="240" w:lineRule="auto"/>
              <w:ind w:left="360"/>
            </w:pPr>
          </w:p>
        </w:tc>
      </w:tr>
      <w:tr w:rsidR="000E6945" w:rsidTr="0098444D">
        <w:tc>
          <w:tcPr>
            <w:tcW w:w="1560" w:type="dxa"/>
          </w:tcPr>
          <w:p w:rsidR="000E6945" w:rsidRDefault="000E6945" w:rsidP="0098444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Pr="003A369F" w:rsidRDefault="000E6945" w:rsidP="0098444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E6945" w:rsidRPr="00FB529E" w:rsidRDefault="000E6945" w:rsidP="0098444D">
            <w:r w:rsidRPr="00FB529E">
              <w:t>En los últimos diez años</w:t>
            </w:r>
            <w:r w:rsidR="00FB529E" w:rsidRPr="00FB529E">
              <w:t xml:space="preserve">: </w:t>
            </w:r>
          </w:p>
          <w:p w:rsidR="00FB529E" w:rsidRPr="00FB529E" w:rsidRDefault="000E6945" w:rsidP="00FB529E">
            <w:pPr>
              <w:spacing w:after="120" w:line="240" w:lineRule="auto"/>
              <w:jc w:val="both"/>
              <w:rPr>
                <w:rStyle w:val="A12"/>
                <w:rFonts w:cs="Arial"/>
                <w:color w:val="auto"/>
                <w:sz w:val="22"/>
                <w:szCs w:val="26"/>
              </w:rPr>
            </w:pPr>
            <w:r w:rsidRPr="00FB529E">
              <w:t xml:space="preserve"> </w:t>
            </w:r>
            <w:r w:rsidR="00FB529E" w:rsidRPr="00DC4B53">
              <w:rPr>
                <w:rFonts w:ascii="Arial" w:hAnsi="Arial" w:cs="Arial"/>
                <w:szCs w:val="26"/>
              </w:rPr>
              <w:t>—</w:t>
            </w:r>
            <w:r w:rsidR="00FB529E" w:rsidRPr="00DC4B53">
              <w:rPr>
                <w:rFonts w:ascii="Arial" w:hAnsi="Arial" w:cs="Arial"/>
                <w:i/>
                <w:szCs w:val="26"/>
              </w:rPr>
              <w:t xml:space="preserve"> </w:t>
            </w:r>
            <w:r w:rsidR="00FB529E" w:rsidRPr="00FB529E">
              <w:rPr>
                <w:rFonts w:cs="Arial"/>
                <w:i/>
              </w:rPr>
              <w:t xml:space="preserve">La responsabilidad derivada de la adopción de medidas cautelares en el proceso civil, </w:t>
            </w:r>
            <w:r w:rsidR="00FB529E" w:rsidRPr="00FB529E">
              <w:rPr>
                <w:rFonts w:cs="Arial"/>
              </w:rPr>
              <w:t>Ed. Tirant lo Blanch, Madrid, 2018, 200 págs. ISBM: 978-84-9120- 828-9</w:t>
            </w:r>
            <w:r w:rsidR="00FB529E" w:rsidRPr="00FB529E">
              <w:rPr>
                <w:rStyle w:val="A12"/>
                <w:sz w:val="22"/>
                <w:szCs w:val="22"/>
              </w:rPr>
              <w:t xml:space="preserve">. </w:t>
            </w:r>
          </w:p>
          <w:p w:rsidR="00FB529E" w:rsidRDefault="00FB529E" w:rsidP="00FB529E">
            <w:pPr>
              <w:spacing w:after="120" w:line="240" w:lineRule="auto"/>
              <w:jc w:val="both"/>
              <w:rPr>
                <w:rFonts w:cs="Arial"/>
                <w:szCs w:val="26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  <w:i/>
                <w:szCs w:val="26"/>
              </w:rPr>
              <w:t xml:space="preserve"> El proceso de ejecución forzosa: problemas actuales y soluciones jurisprudenciales, </w:t>
            </w:r>
            <w:r w:rsidRPr="00FB529E">
              <w:rPr>
                <w:rFonts w:cs="Arial"/>
                <w:szCs w:val="26"/>
              </w:rPr>
              <w:t xml:space="preserve">obra coordinada por Álvaro Gutiérrez </w:t>
            </w:r>
            <w:proofErr w:type="spellStart"/>
            <w:r w:rsidRPr="00FB529E">
              <w:rPr>
                <w:rFonts w:cs="Arial"/>
                <w:szCs w:val="26"/>
              </w:rPr>
              <w:t>Berlinches</w:t>
            </w:r>
            <w:proofErr w:type="spellEnd"/>
            <w:r w:rsidRPr="00FB529E">
              <w:rPr>
                <w:rFonts w:cs="Arial"/>
                <w:szCs w:val="26"/>
              </w:rPr>
              <w:t xml:space="preserve">. Ed. La Ley, Madrid, 2015, 1164 págs. ISBN: 978-84-9020-463-4. Autora del Capítulo 3 «El despacho de la ejecución y la oposición del ejecutado», págs. 193 a 317. </w:t>
            </w:r>
          </w:p>
          <w:p w:rsidR="00D95A85" w:rsidRDefault="00D95A85" w:rsidP="00D95A85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—</w:t>
            </w:r>
            <w:r>
              <w:rPr>
                <w:rFonts w:cs="Times New Roman"/>
                <w:i/>
                <w:szCs w:val="26"/>
              </w:rPr>
              <w:t xml:space="preserve"> </w:t>
            </w:r>
            <w:r w:rsidRPr="00FB5B83">
              <w:rPr>
                <w:rFonts w:cs="Times New Roman"/>
                <w:i/>
                <w:szCs w:val="26"/>
              </w:rPr>
              <w:t>Derecho, Justicia, Universidad</w:t>
            </w:r>
            <w:r>
              <w:rPr>
                <w:rFonts w:cs="Times New Roman"/>
                <w:szCs w:val="26"/>
              </w:rPr>
              <w:t xml:space="preserve">, </w:t>
            </w:r>
            <w:proofErr w:type="spellStart"/>
            <w:r w:rsidRPr="00FB5B83">
              <w:rPr>
                <w:rFonts w:cs="Times New Roman"/>
                <w:i/>
                <w:szCs w:val="26"/>
              </w:rPr>
              <w:t>Liber</w:t>
            </w:r>
            <w:proofErr w:type="spellEnd"/>
            <w:r w:rsidRPr="00FB5B83">
              <w:rPr>
                <w:rFonts w:cs="Times New Roman"/>
                <w:i/>
                <w:szCs w:val="26"/>
              </w:rPr>
              <w:t xml:space="preserve"> </w:t>
            </w:r>
            <w:proofErr w:type="spellStart"/>
            <w:r w:rsidRPr="00FB5B83">
              <w:rPr>
                <w:rFonts w:cs="Times New Roman"/>
                <w:i/>
                <w:szCs w:val="26"/>
              </w:rPr>
              <w:t>Amicorum</w:t>
            </w:r>
            <w:proofErr w:type="spellEnd"/>
            <w:r>
              <w:rPr>
                <w:rFonts w:cs="Times New Roman"/>
                <w:szCs w:val="26"/>
              </w:rPr>
              <w:t xml:space="preserve"> de Andrés de la Oliva Santos, obra coordinada por Ignacio Díez-Picazo Giménez y Jaime Vegas Torres, Ed. Universitaria Ramón Areces, Madrid, 2016. ISBN: 978-84-9961-221-8. Participación con el trabajo </w:t>
            </w:r>
            <w:r w:rsidRPr="00FB5B83">
              <w:rPr>
                <w:rFonts w:cs="Times New Roman"/>
                <w:szCs w:val="26"/>
              </w:rPr>
              <w:t>«La eficacia de cosa juzgada del auto resolutorio de la oposición de fondo a la ejecución a la luz de la juris</w:t>
            </w:r>
            <w:r>
              <w:rPr>
                <w:rFonts w:cs="Times New Roman"/>
                <w:szCs w:val="26"/>
              </w:rPr>
              <w:t>prudencia del Tribunal Supremo», Vol. I, págs. 365 a 386.</w:t>
            </w:r>
          </w:p>
          <w:p w:rsidR="00D95A85" w:rsidRDefault="00D95A85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 w:rsidRPr="006C3C84">
              <w:rPr>
                <w:rFonts w:cs="Times New Roman"/>
                <w:szCs w:val="26"/>
              </w:rPr>
              <w:t xml:space="preserve">— «Comentario de la Sentencia del Tribunal Supremo de 13 de enero de 2015 (Ámbito de la oposición a la ejecución y del eventual proceso declarativo posterior)», en </w:t>
            </w:r>
            <w:r w:rsidRPr="006C3C84">
              <w:rPr>
                <w:rFonts w:cs="Times New Roman"/>
                <w:i/>
                <w:szCs w:val="26"/>
              </w:rPr>
              <w:t>Comentarios a las sentencias de unificación de doctrina (civil y mercantil)</w:t>
            </w:r>
            <w:r w:rsidRPr="006C3C84">
              <w:rPr>
                <w:rFonts w:cs="Times New Roman"/>
                <w:szCs w:val="26"/>
              </w:rPr>
              <w:t xml:space="preserve">, Boletín Oficial del Estado – </w:t>
            </w:r>
            <w:proofErr w:type="spellStart"/>
            <w:r w:rsidRPr="006C3C84">
              <w:rPr>
                <w:rFonts w:cs="Times New Roman"/>
                <w:szCs w:val="26"/>
              </w:rPr>
              <w:t>Dyk</w:t>
            </w:r>
            <w:r>
              <w:rPr>
                <w:rFonts w:cs="Times New Roman"/>
                <w:szCs w:val="26"/>
              </w:rPr>
              <w:t>inson</w:t>
            </w:r>
            <w:proofErr w:type="spellEnd"/>
            <w:r>
              <w:rPr>
                <w:rFonts w:cs="Times New Roman"/>
                <w:szCs w:val="26"/>
              </w:rPr>
              <w:t xml:space="preserve">, Madrid, 2016, ISBN: 978-84-9148-185-0. </w:t>
            </w:r>
          </w:p>
          <w:p w:rsidR="00D95A85" w:rsidRPr="00D95A85" w:rsidRDefault="00D95A85" w:rsidP="00FB529E">
            <w:pPr>
              <w:spacing w:after="120" w:line="240" w:lineRule="auto"/>
              <w:jc w:val="both"/>
              <w:rPr>
                <w:rFonts w:cs="Times New Roman"/>
                <w:szCs w:val="26"/>
              </w:rPr>
            </w:pPr>
            <w:r w:rsidRPr="00A203D7">
              <w:rPr>
                <w:rFonts w:cs="Times New Roman"/>
                <w:szCs w:val="26"/>
              </w:rPr>
              <w:t xml:space="preserve">— «Partes en el proceso civil», en </w:t>
            </w:r>
            <w:r w:rsidRPr="00A203D7">
              <w:rPr>
                <w:rFonts w:cs="Times New Roman"/>
                <w:i/>
                <w:szCs w:val="26"/>
              </w:rPr>
              <w:t xml:space="preserve">Memento Práctico </w:t>
            </w:r>
            <w:r w:rsidRPr="00A203D7">
              <w:rPr>
                <w:rFonts w:cs="Times New Roman"/>
                <w:szCs w:val="26"/>
              </w:rPr>
              <w:t xml:space="preserve">­ </w:t>
            </w:r>
            <w:r w:rsidRPr="00A203D7">
              <w:rPr>
                <w:rFonts w:cs="Times New Roman"/>
                <w:i/>
                <w:szCs w:val="26"/>
              </w:rPr>
              <w:t>Ejercicio Profesional de la Abogacía 2016-2017</w:t>
            </w:r>
            <w:r w:rsidRPr="00A203D7">
              <w:rPr>
                <w:rFonts w:cs="Times New Roman"/>
                <w:szCs w:val="26"/>
              </w:rPr>
              <w:t>, obra colectiva coordinada p</w:t>
            </w:r>
            <w:r>
              <w:rPr>
                <w:rFonts w:cs="Times New Roman"/>
                <w:szCs w:val="26"/>
              </w:rPr>
              <w:t>or Ana Belén Campuzano y María E</w:t>
            </w:r>
            <w:r w:rsidRPr="00A203D7">
              <w:rPr>
                <w:rFonts w:cs="Times New Roman"/>
                <w:szCs w:val="26"/>
              </w:rPr>
              <w:t xml:space="preserve">nciso, Ed. Francis </w:t>
            </w:r>
            <w:proofErr w:type="spellStart"/>
            <w:r w:rsidRPr="00A203D7">
              <w:rPr>
                <w:rFonts w:cs="Times New Roman"/>
                <w:szCs w:val="26"/>
              </w:rPr>
              <w:t>Lefebvre</w:t>
            </w:r>
            <w:proofErr w:type="spellEnd"/>
            <w:r w:rsidRPr="00A203D7">
              <w:rPr>
                <w:rFonts w:cs="Times New Roman"/>
                <w:szCs w:val="26"/>
              </w:rPr>
              <w:t xml:space="preserve">, Madrid, 2016, 1153 págs., </w:t>
            </w:r>
            <w:r w:rsidRPr="00A203D7">
              <w:rPr>
                <w:rFonts w:cs="Times New Roman"/>
                <w:szCs w:val="26"/>
              </w:rPr>
              <w:lastRenderedPageBreak/>
              <w:t>p</w:t>
            </w:r>
            <w:r>
              <w:rPr>
                <w:rFonts w:cs="Times New Roman"/>
                <w:szCs w:val="26"/>
              </w:rPr>
              <w:t xml:space="preserve">ágs. 212 a 227. </w:t>
            </w:r>
            <w:r w:rsidRPr="00A203D7">
              <w:rPr>
                <w:rFonts w:cs="Times New Roman"/>
                <w:szCs w:val="26"/>
              </w:rPr>
              <w:t>ISBN: 978-84-16612-12-3</w:t>
            </w:r>
            <w:r>
              <w:rPr>
                <w:rFonts w:cs="Times New Roman"/>
                <w:szCs w:val="26"/>
              </w:rPr>
              <w:t>.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Arial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  <w:i/>
              </w:rPr>
              <w:t xml:space="preserve"> Los procesos declarativos de la Ley de Enjuiciamiento Civil, </w:t>
            </w:r>
            <w:r w:rsidRPr="00FB529E">
              <w:rPr>
                <w:rFonts w:cs="Arial"/>
              </w:rPr>
              <w:t xml:space="preserve">obra coordinada por Julio </w:t>
            </w:r>
            <w:proofErr w:type="spellStart"/>
            <w:r w:rsidRPr="00FB529E">
              <w:rPr>
                <w:rFonts w:cs="Arial"/>
              </w:rPr>
              <w:t>Banacloche</w:t>
            </w:r>
            <w:proofErr w:type="spellEnd"/>
            <w:r w:rsidRPr="00FB529E">
              <w:rPr>
                <w:rFonts w:cs="Arial"/>
              </w:rPr>
              <w:t xml:space="preserve"> Palao, Ed. La Ley, Madrid, 2012, 495 págs. ISBN: 978-84-470-3867-1. Autora del Capítulo 10 </w:t>
            </w:r>
            <w:r w:rsidRPr="00FB529E">
              <w:rPr>
                <w:rFonts w:cs="Arial"/>
                <w:szCs w:val="26"/>
              </w:rPr>
              <w:t>«</w:t>
            </w:r>
            <w:r w:rsidRPr="00FB529E">
              <w:rPr>
                <w:rFonts w:cs="Arial"/>
              </w:rPr>
              <w:t>El juicio verbal: análisis crítico y propuestas de mejora</w:t>
            </w:r>
            <w:r w:rsidRPr="00FB529E">
              <w:rPr>
                <w:rFonts w:cs="Arial"/>
                <w:szCs w:val="26"/>
              </w:rPr>
              <w:t xml:space="preserve">», págs. 319 a 373. 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Arial"/>
                <w:szCs w:val="26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  <w:i/>
                <w:szCs w:val="26"/>
              </w:rPr>
              <w:t xml:space="preserve"> Proceso penal, terrorismo y derechos fundamentales</w:t>
            </w:r>
            <w:r w:rsidRPr="00FB529E">
              <w:rPr>
                <w:rFonts w:cs="Arial"/>
                <w:szCs w:val="26"/>
              </w:rPr>
              <w:t xml:space="preserve">, obra coordinada por Lorena </w:t>
            </w:r>
            <w:proofErr w:type="spellStart"/>
            <w:r w:rsidRPr="00FB529E">
              <w:rPr>
                <w:rFonts w:cs="Arial"/>
                <w:szCs w:val="26"/>
              </w:rPr>
              <w:t>Bachmaier</w:t>
            </w:r>
            <w:proofErr w:type="spellEnd"/>
            <w:r w:rsidRPr="00FB529E">
              <w:rPr>
                <w:rFonts w:cs="Arial"/>
                <w:szCs w:val="26"/>
              </w:rPr>
              <w:t xml:space="preserve"> Winter, Ed. Marcial Pons, Madrid, 2012, 298 págs. </w:t>
            </w:r>
            <w:r w:rsidRPr="00FB529E">
              <w:rPr>
                <w:rFonts w:cs="Arial"/>
              </w:rPr>
              <w:t xml:space="preserve">ISBN: 978-84-9768-739-3. </w:t>
            </w:r>
            <w:r w:rsidRPr="00FB529E">
              <w:rPr>
                <w:rFonts w:cs="Arial"/>
                <w:szCs w:val="26"/>
              </w:rPr>
              <w:t xml:space="preserve">Coautora, junto con María Teresa de Padura Ballesteros del Capítulo «La detención incomunicada por delitos de terrorismo», págs. 103 a 144. 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Arial"/>
                <w:szCs w:val="26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  <w:i/>
                <w:szCs w:val="26"/>
              </w:rPr>
              <w:t xml:space="preserve"> Medidas de la lucha contra la morosidad</w:t>
            </w:r>
            <w:r w:rsidRPr="00FB529E">
              <w:rPr>
                <w:rFonts w:cs="Arial"/>
                <w:szCs w:val="26"/>
              </w:rPr>
              <w:t xml:space="preserve">, obra dirigida por Pilar Blanco-Morales Limones, Ed. La Ley, Madrid, 2011, 491 págs. ISBN: 978-84-8126-387-9. Coautora del Capítulo IV, «Cuestiones procesales de la lucha contra la morosidad», junto con Julio </w:t>
            </w:r>
            <w:proofErr w:type="spellStart"/>
            <w:r w:rsidRPr="00FB529E">
              <w:rPr>
                <w:rFonts w:cs="Arial"/>
                <w:szCs w:val="26"/>
              </w:rPr>
              <w:t>Banacloche</w:t>
            </w:r>
            <w:proofErr w:type="spellEnd"/>
            <w:r w:rsidRPr="00FB529E">
              <w:rPr>
                <w:rFonts w:cs="Arial"/>
                <w:szCs w:val="26"/>
              </w:rPr>
              <w:t xml:space="preserve"> Palao y Bárbara Sánchez López, págs. 253 a 326. 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Arial"/>
                <w:szCs w:val="26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  <w:i/>
                <w:szCs w:val="26"/>
              </w:rPr>
              <w:t xml:space="preserve"> Derecho Procesal Civil Europeo. Volumen I. Competencia judicial internacional, reconocimiento y ejecución de sentencias extranjeras en la Unión Europea</w:t>
            </w:r>
            <w:r w:rsidRPr="00FB529E">
              <w:rPr>
                <w:rFonts w:cs="Arial"/>
                <w:szCs w:val="26"/>
              </w:rPr>
              <w:t xml:space="preserve">, obra dirigida por Andrés de la Oliva Santos y coordinada por Fernando Gascón </w:t>
            </w:r>
            <w:proofErr w:type="spellStart"/>
            <w:r w:rsidRPr="00FB529E">
              <w:rPr>
                <w:rFonts w:cs="Arial"/>
                <w:szCs w:val="26"/>
              </w:rPr>
              <w:t>Inchausti</w:t>
            </w:r>
            <w:proofErr w:type="spellEnd"/>
            <w:r w:rsidRPr="00FB529E">
              <w:rPr>
                <w:rFonts w:cs="Arial"/>
                <w:szCs w:val="26"/>
              </w:rPr>
              <w:t xml:space="preserve">, Ed. Aranzadi, </w:t>
            </w:r>
            <w:proofErr w:type="spellStart"/>
            <w:r w:rsidRPr="00FB529E">
              <w:rPr>
                <w:rFonts w:cs="Arial"/>
                <w:szCs w:val="26"/>
              </w:rPr>
              <w:t>Cizur</w:t>
            </w:r>
            <w:proofErr w:type="spellEnd"/>
            <w:r w:rsidRPr="00FB529E">
              <w:rPr>
                <w:rFonts w:cs="Arial"/>
                <w:szCs w:val="26"/>
              </w:rPr>
              <w:t xml:space="preserve"> Menor, 2011. 653 págs. ISBN: 978-84-9903-815-5. Coautora del Capítulo I, con Bárbara Sánchez López, «Ámbito de aplicación del Reglamento 44/2001», págs. 41 a 76 y del Capítulo II «Fuero general de competencia internacional del demandado (arts. 2, 3 y 4 RB)», págs. 77 a 98.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Arial"/>
                <w:szCs w:val="26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  <w:i/>
                <w:szCs w:val="26"/>
              </w:rPr>
              <w:t xml:space="preserve"> El Juicio verbal de desahucio</w:t>
            </w:r>
            <w:r w:rsidRPr="00FB529E">
              <w:rPr>
                <w:rFonts w:cs="Arial"/>
                <w:szCs w:val="26"/>
              </w:rPr>
              <w:t xml:space="preserve">, Ed. </w:t>
            </w:r>
            <w:proofErr w:type="spellStart"/>
            <w:r w:rsidRPr="00FB529E">
              <w:rPr>
                <w:rFonts w:cs="Arial"/>
                <w:szCs w:val="26"/>
              </w:rPr>
              <w:t>Civitas</w:t>
            </w:r>
            <w:proofErr w:type="spellEnd"/>
            <w:r w:rsidRPr="00FB529E">
              <w:rPr>
                <w:rFonts w:cs="Arial"/>
                <w:szCs w:val="26"/>
              </w:rPr>
              <w:t>, Madrid, 2010, 320 págs. ISBN: 978-84-470-3563-2.</w:t>
            </w:r>
          </w:p>
          <w:p w:rsidR="00FB529E" w:rsidRPr="00FB529E" w:rsidRDefault="00FB529E" w:rsidP="00FB529E">
            <w:pPr>
              <w:autoSpaceDE w:val="0"/>
              <w:spacing w:after="120" w:line="240" w:lineRule="auto"/>
              <w:jc w:val="both"/>
              <w:rPr>
                <w:rFonts w:cs="Arial"/>
                <w:bCs/>
                <w:i/>
                <w:szCs w:val="26"/>
                <w:lang w:val="es-ES_tradnl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  <w:bCs/>
                <w:i/>
                <w:szCs w:val="26"/>
                <w:lang w:val="es-ES_tradnl"/>
              </w:rPr>
              <w:t xml:space="preserve"> Guía práctica de la nueva Oficina Judicial</w:t>
            </w:r>
            <w:r w:rsidRPr="00FB529E">
              <w:rPr>
                <w:rFonts w:cs="Arial"/>
                <w:bCs/>
                <w:szCs w:val="26"/>
                <w:lang w:val="es-ES_tradnl"/>
              </w:rPr>
              <w:t xml:space="preserve">, coordinada por Julio </w:t>
            </w:r>
            <w:proofErr w:type="spellStart"/>
            <w:r w:rsidRPr="00FB529E">
              <w:rPr>
                <w:rFonts w:cs="Arial"/>
                <w:bCs/>
                <w:szCs w:val="26"/>
                <w:lang w:val="es-ES_tradnl"/>
              </w:rPr>
              <w:t>Banacloche</w:t>
            </w:r>
            <w:proofErr w:type="spellEnd"/>
            <w:r w:rsidRPr="00FB529E">
              <w:rPr>
                <w:rFonts w:cs="Arial"/>
                <w:bCs/>
                <w:szCs w:val="26"/>
                <w:lang w:val="es-ES_tradnl"/>
              </w:rPr>
              <w:t xml:space="preserve"> Palao, Ed. La Ley, Madrid, 2010, 620 págs. ISBN: 978-84-8126.491-3. Autora del Capítulo </w:t>
            </w:r>
            <w:r w:rsidRPr="00FB529E">
              <w:rPr>
                <w:rFonts w:cs="Arial"/>
                <w:szCs w:val="26"/>
              </w:rPr>
              <w:t>«</w:t>
            </w:r>
            <w:r w:rsidRPr="00FB529E">
              <w:rPr>
                <w:rFonts w:cs="Arial"/>
                <w:bCs/>
                <w:szCs w:val="26"/>
                <w:lang w:val="es-ES_tradnl"/>
              </w:rPr>
              <w:t>La reforma de los procesos de desahucio (Ley 19/2009, de 23 de noviembre)</w:t>
            </w:r>
            <w:r w:rsidRPr="00FB529E">
              <w:rPr>
                <w:rFonts w:cs="Arial"/>
                <w:szCs w:val="26"/>
              </w:rPr>
              <w:t>»</w:t>
            </w:r>
            <w:r w:rsidRPr="00FB529E">
              <w:rPr>
                <w:rFonts w:cs="Arial"/>
                <w:bCs/>
                <w:szCs w:val="26"/>
                <w:lang w:val="es-ES_tradnl"/>
              </w:rPr>
              <w:t xml:space="preserve">, págs. 269 a 305 y Coautora del Capítulo </w:t>
            </w:r>
            <w:r w:rsidRPr="00FB529E">
              <w:rPr>
                <w:rFonts w:cs="Arial"/>
                <w:szCs w:val="26"/>
              </w:rPr>
              <w:t>«</w:t>
            </w:r>
            <w:r w:rsidRPr="00FB529E">
              <w:rPr>
                <w:rFonts w:cs="Arial"/>
                <w:bCs/>
                <w:szCs w:val="26"/>
                <w:lang w:val="es-ES_tradnl"/>
              </w:rPr>
              <w:t>Reformas del Libro III sobre proceso de ejecución y medidas cautelares</w:t>
            </w:r>
            <w:r w:rsidRPr="00FB529E">
              <w:rPr>
                <w:rFonts w:cs="Arial"/>
                <w:szCs w:val="26"/>
              </w:rPr>
              <w:t>»</w:t>
            </w:r>
            <w:r w:rsidRPr="00FB529E">
              <w:rPr>
                <w:rFonts w:cs="Arial"/>
                <w:bCs/>
                <w:szCs w:val="26"/>
                <w:lang w:val="es-ES_tradnl"/>
              </w:rPr>
              <w:t>, junto con Bárbara Sánchez López, págs. 307 a 368.</w:t>
            </w:r>
          </w:p>
          <w:p w:rsidR="00FB529E" w:rsidRPr="00FB529E" w:rsidRDefault="00FB529E" w:rsidP="00FB529E">
            <w:pPr>
              <w:spacing w:after="120" w:line="240" w:lineRule="auto"/>
              <w:jc w:val="both"/>
              <w:rPr>
                <w:rFonts w:cs="Arial"/>
              </w:rPr>
            </w:pPr>
            <w:r w:rsidRPr="00FB529E">
              <w:rPr>
                <w:rFonts w:cs="Arial"/>
                <w:szCs w:val="26"/>
              </w:rPr>
              <w:t>—</w:t>
            </w:r>
            <w:r w:rsidRPr="00FB529E">
              <w:rPr>
                <w:rFonts w:cs="Arial"/>
              </w:rPr>
              <w:t xml:space="preserve"> “Principales efectos del laudo arbitral: cosa juzgada y </w:t>
            </w:r>
            <w:proofErr w:type="spellStart"/>
            <w:r w:rsidRPr="00FB529E">
              <w:rPr>
                <w:rFonts w:cs="Arial"/>
              </w:rPr>
              <w:t>ejecutabilidad</w:t>
            </w:r>
            <w:proofErr w:type="spellEnd"/>
            <w:r w:rsidRPr="00FB529E">
              <w:rPr>
                <w:rFonts w:cs="Arial"/>
              </w:rPr>
              <w:t xml:space="preserve">”, </w:t>
            </w:r>
            <w:r w:rsidRPr="00FB529E">
              <w:rPr>
                <w:rFonts w:cs="Arial"/>
                <w:i/>
              </w:rPr>
              <w:t>Arbitraje. Revista de arbitraje comercial y de inversiones</w:t>
            </w:r>
            <w:r w:rsidRPr="00FB529E">
              <w:rPr>
                <w:rFonts w:cs="Arial"/>
              </w:rPr>
              <w:t>, Madrid, 2008, vol. I, nº 1, págs. 115 a 138.</w:t>
            </w:r>
          </w:p>
          <w:p w:rsidR="00FB529E" w:rsidRDefault="00FB529E" w:rsidP="00FB529E">
            <w:pPr>
              <w:spacing w:after="120" w:line="240" w:lineRule="auto"/>
              <w:jc w:val="both"/>
            </w:pPr>
            <w:r>
              <w:rPr>
                <w:rFonts w:cs="Times New Roman"/>
                <w:szCs w:val="26"/>
              </w:rPr>
              <w:t>— «</w:t>
            </w:r>
            <w:r w:rsidRPr="009A5F60">
              <w:t xml:space="preserve">Principales efectos del laudo arbitral: cosa juzgada y </w:t>
            </w:r>
            <w:proofErr w:type="spellStart"/>
            <w:r w:rsidRPr="009A5F60">
              <w:t>ejecutabilidad</w:t>
            </w:r>
            <w:proofErr w:type="spellEnd"/>
            <w:r>
              <w:rPr>
                <w:rFonts w:cs="Times New Roman"/>
                <w:szCs w:val="26"/>
              </w:rPr>
              <w:t xml:space="preserve">», </w:t>
            </w:r>
            <w:r w:rsidRPr="00A8651C">
              <w:rPr>
                <w:i/>
              </w:rPr>
              <w:t>Arbitraje. Revista de arbitraje comercial y de inversiones</w:t>
            </w:r>
            <w:r>
              <w:t>, Ed. Centro Internacional de Arbitraje, Mediación y Negociación, Madrid, 2008, Volumen I, nº 1, págs. 115 a 138, ISNN: 1888-5373.</w:t>
            </w:r>
          </w:p>
          <w:p w:rsidR="00FB529E" w:rsidRPr="00BD6083" w:rsidRDefault="00FB529E" w:rsidP="00FB529E">
            <w:pPr>
              <w:spacing w:after="120" w:line="240" w:lineRule="auto"/>
              <w:jc w:val="both"/>
            </w:pPr>
            <w:r w:rsidRPr="00BD6083">
              <w:rPr>
                <w:rFonts w:cs="Times New Roman"/>
                <w:szCs w:val="26"/>
              </w:rPr>
              <w:t>— «</w:t>
            </w:r>
            <w:r w:rsidRPr="00BD6083">
              <w:t xml:space="preserve">Nulidad del laudo. Acción de anulación. Naturaleza. Carácter no equiparable al recurso de apelación. Errores </w:t>
            </w:r>
            <w:r w:rsidRPr="00BD6083">
              <w:rPr>
                <w:i/>
              </w:rPr>
              <w:t xml:space="preserve">in </w:t>
            </w:r>
            <w:proofErr w:type="spellStart"/>
            <w:r w:rsidRPr="00BD6083">
              <w:rPr>
                <w:i/>
              </w:rPr>
              <w:t>procedendo</w:t>
            </w:r>
            <w:proofErr w:type="spellEnd"/>
            <w:r w:rsidRPr="00BD6083">
              <w:t xml:space="preserve">. Laudo contrario al orden público, por no haberse acordado la suspensión del procedimiento por </w:t>
            </w:r>
            <w:proofErr w:type="spellStart"/>
            <w:r w:rsidRPr="00BD6083">
              <w:t>prejudicialidad</w:t>
            </w:r>
            <w:proofErr w:type="spellEnd"/>
            <w:r w:rsidRPr="00BD6083">
              <w:t xml:space="preserve"> penal. Incongruencia </w:t>
            </w:r>
            <w:r w:rsidRPr="00BD6083">
              <w:rPr>
                <w:i/>
              </w:rPr>
              <w:t xml:space="preserve">extra </w:t>
            </w:r>
            <w:proofErr w:type="spellStart"/>
            <w:r w:rsidRPr="00BD6083">
              <w:rPr>
                <w:i/>
              </w:rPr>
              <w:t>petita</w:t>
            </w:r>
            <w:proofErr w:type="spellEnd"/>
            <w:r w:rsidRPr="00BD6083">
              <w:t>: procedencia. Libertad de las partes para acordar el procedimiento para la designación de los árbitros. Prueba testifical: testigo residente en el extranjero. Anulación parcial del laudo</w:t>
            </w:r>
            <w:r w:rsidRPr="00BD6083">
              <w:rPr>
                <w:rFonts w:cs="Times New Roman"/>
                <w:szCs w:val="26"/>
              </w:rPr>
              <w:t xml:space="preserve">», </w:t>
            </w:r>
            <w:r w:rsidRPr="00BD6083">
              <w:rPr>
                <w:i/>
              </w:rPr>
              <w:t>Arbitraje. Revista de arbitraje comercial y de inversiones</w:t>
            </w:r>
            <w:r w:rsidRPr="00BD6083">
              <w:t xml:space="preserve">, Ed. Centro Internacional de Arbitraje, Mediación y Negociación, Madrid, 2008, Volumen I, nº 2, págs. 527 a 534, </w:t>
            </w:r>
            <w:r w:rsidRPr="00BD6083">
              <w:lastRenderedPageBreak/>
              <w:t>ISNN: 1888-5373</w:t>
            </w:r>
            <w:r>
              <w:t xml:space="preserve">. </w:t>
            </w:r>
          </w:p>
          <w:p w:rsidR="000E6945" w:rsidRPr="00FB529E" w:rsidRDefault="000E6945" w:rsidP="00FB529E"/>
        </w:tc>
      </w:tr>
      <w:tr w:rsidR="000E6945" w:rsidTr="0098444D">
        <w:tc>
          <w:tcPr>
            <w:tcW w:w="1560" w:type="dxa"/>
          </w:tcPr>
          <w:p w:rsidR="000E6945" w:rsidRDefault="000E6945" w:rsidP="0098444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Default="000E6945" w:rsidP="0098444D">
            <w:pPr>
              <w:rPr>
                <w:u w:val="single"/>
              </w:rPr>
            </w:pPr>
          </w:p>
          <w:p w:rsidR="000E6945" w:rsidRPr="003A369F" w:rsidRDefault="000E6945" w:rsidP="0098444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E6945" w:rsidRDefault="000E6945" w:rsidP="00D95A85">
            <w:pPr>
              <w:spacing w:after="0" w:line="240" w:lineRule="auto"/>
            </w:pPr>
          </w:p>
          <w:p w:rsidR="000E6945" w:rsidRDefault="000E6945" w:rsidP="000E694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Docencia en todas las asignaturas de grado y postgrado encomendadas a mi área de conocimiento</w:t>
            </w:r>
          </w:p>
          <w:p w:rsidR="000E6945" w:rsidRDefault="00D95A85" w:rsidP="000E694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Cod</w:t>
            </w:r>
            <w:r w:rsidR="000E6945">
              <w:t>irección de una tesis doctoral</w:t>
            </w:r>
          </w:p>
          <w:p w:rsidR="00D95A85" w:rsidRDefault="00D95A85" w:rsidP="00D95A8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Ponente del Máster de Derecho Privado  del ICAM en todas sus ediciones y Directora de varios cursos de formación para abogados. </w:t>
            </w:r>
          </w:p>
          <w:p w:rsidR="000E6945" w:rsidRDefault="000E6945" w:rsidP="00D95A85">
            <w:pPr>
              <w:pStyle w:val="Prrafodelista"/>
              <w:spacing w:after="0" w:line="240" w:lineRule="auto"/>
            </w:pPr>
          </w:p>
        </w:tc>
      </w:tr>
    </w:tbl>
    <w:p w:rsidR="000E6945" w:rsidRDefault="000E6945" w:rsidP="000E6945"/>
    <w:p w:rsidR="00207FF1" w:rsidRDefault="00482D2B"/>
    <w:sectPr w:rsidR="00207FF1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D2B">
      <w:pPr>
        <w:spacing w:after="0" w:line="240" w:lineRule="auto"/>
      </w:pPr>
      <w:r>
        <w:separator/>
      </w:r>
    </w:p>
  </w:endnote>
  <w:endnote w:type="continuationSeparator" w:id="0">
    <w:p w:rsidR="00000000" w:rsidRDefault="0048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482D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482D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482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D2B">
      <w:pPr>
        <w:spacing w:after="0" w:line="240" w:lineRule="auto"/>
      </w:pPr>
      <w:r>
        <w:separator/>
      </w:r>
    </w:p>
  </w:footnote>
  <w:footnote w:type="continuationSeparator" w:id="0">
    <w:p w:rsidR="00000000" w:rsidRDefault="0048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482D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482D2B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 wp14:anchorId="3BD7A44D" wp14:editId="5AC7005A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482D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482D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4BF"/>
    <w:multiLevelType w:val="hybridMultilevel"/>
    <w:tmpl w:val="B4DA98B6"/>
    <w:lvl w:ilvl="0" w:tplc="FB48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3111"/>
    <w:multiLevelType w:val="hybridMultilevel"/>
    <w:tmpl w:val="9D1815C2"/>
    <w:lvl w:ilvl="0" w:tplc="1E528CD0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3DCB"/>
    <w:multiLevelType w:val="hybridMultilevel"/>
    <w:tmpl w:val="39FCCE9E"/>
    <w:lvl w:ilvl="0" w:tplc="16621418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2D4C"/>
    <w:multiLevelType w:val="hybridMultilevel"/>
    <w:tmpl w:val="DE4C9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F2ADA"/>
    <w:multiLevelType w:val="hybridMultilevel"/>
    <w:tmpl w:val="70BC450E"/>
    <w:lvl w:ilvl="0" w:tplc="98C67FD4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27ECA"/>
    <w:multiLevelType w:val="hybridMultilevel"/>
    <w:tmpl w:val="5FA6C658"/>
    <w:lvl w:ilvl="0" w:tplc="8CD0AA36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5"/>
    <w:rsid w:val="000E6945"/>
    <w:rsid w:val="003603AD"/>
    <w:rsid w:val="00482D2B"/>
    <w:rsid w:val="00BC4E7F"/>
    <w:rsid w:val="00D275B5"/>
    <w:rsid w:val="00D95A85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4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9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945"/>
  </w:style>
  <w:style w:type="paragraph" w:styleId="Piedepgina">
    <w:name w:val="footer"/>
    <w:basedOn w:val="Normal"/>
    <w:link w:val="PiedepginaCar"/>
    <w:uiPriority w:val="99"/>
    <w:unhideWhenUsed/>
    <w:rsid w:val="000E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945"/>
  </w:style>
  <w:style w:type="character" w:styleId="Hipervnculo">
    <w:name w:val="Hyperlink"/>
    <w:basedOn w:val="Fuentedeprrafopredeter"/>
    <w:uiPriority w:val="99"/>
    <w:unhideWhenUsed/>
    <w:rsid w:val="000E69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945"/>
    <w:rPr>
      <w:rFonts w:ascii="Tahoma" w:hAnsi="Tahoma" w:cs="Tahoma"/>
      <w:sz w:val="16"/>
      <w:szCs w:val="16"/>
    </w:rPr>
  </w:style>
  <w:style w:type="character" w:customStyle="1" w:styleId="A12">
    <w:name w:val="A12"/>
    <w:uiPriority w:val="99"/>
    <w:rsid w:val="00FB529E"/>
    <w:rPr>
      <w:rFonts w:cs="Sabon LT Std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4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9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945"/>
  </w:style>
  <w:style w:type="paragraph" w:styleId="Piedepgina">
    <w:name w:val="footer"/>
    <w:basedOn w:val="Normal"/>
    <w:link w:val="PiedepginaCar"/>
    <w:uiPriority w:val="99"/>
    <w:unhideWhenUsed/>
    <w:rsid w:val="000E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945"/>
  </w:style>
  <w:style w:type="character" w:styleId="Hipervnculo">
    <w:name w:val="Hyperlink"/>
    <w:basedOn w:val="Fuentedeprrafopredeter"/>
    <w:uiPriority w:val="99"/>
    <w:unhideWhenUsed/>
    <w:rsid w:val="000E69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945"/>
    <w:rPr>
      <w:rFonts w:ascii="Tahoma" w:hAnsi="Tahoma" w:cs="Tahoma"/>
      <w:sz w:val="16"/>
      <w:szCs w:val="16"/>
    </w:rPr>
  </w:style>
  <w:style w:type="character" w:customStyle="1" w:styleId="A12">
    <w:name w:val="A12"/>
    <w:uiPriority w:val="99"/>
    <w:rsid w:val="00FB529E"/>
    <w:rPr>
      <w:rFonts w:cs="Sabon LT St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3</cp:revision>
  <dcterms:created xsi:type="dcterms:W3CDTF">2019-05-04T08:30:00Z</dcterms:created>
  <dcterms:modified xsi:type="dcterms:W3CDTF">2019-05-06T19:29:00Z</dcterms:modified>
</cp:coreProperties>
</file>